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C" w:rsidRDefault="00183E8C" w:rsidP="00183E8C">
      <w:pPr>
        <w:rPr>
          <w:sz w:val="22"/>
        </w:rPr>
      </w:pPr>
    </w:p>
    <w:p w:rsidR="00183E8C" w:rsidRDefault="00183E8C" w:rsidP="00183E8C">
      <w:pPr>
        <w:rPr>
          <w:sz w:val="22"/>
        </w:rPr>
      </w:pPr>
    </w:p>
    <w:tbl>
      <w:tblPr>
        <w:tblW w:w="92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39"/>
        <w:gridCol w:w="4527"/>
      </w:tblGrid>
      <w:tr w:rsidR="00183E8C" w:rsidRPr="00B23E1E" w:rsidTr="00116D98">
        <w:trPr>
          <w:trHeight w:val="431"/>
          <w:jc w:val="center"/>
        </w:trPr>
        <w:tc>
          <w:tcPr>
            <w:tcW w:w="926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E8C" w:rsidRPr="00B23E1E" w:rsidRDefault="00183E8C" w:rsidP="00FE0391">
            <w:pPr>
              <w:ind w:right="-1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F7768">
              <w:rPr>
                <w:rFonts w:ascii="Arial Black" w:hAnsi="Arial Black"/>
                <w:sz w:val="28"/>
                <w:szCs w:val="20"/>
              </w:rPr>
              <w:t xml:space="preserve">TENDER NOTICE FOR YEARLY CONTRACT </w:t>
            </w:r>
            <w:r w:rsidR="006973FB" w:rsidRPr="00AF7768">
              <w:rPr>
                <w:rFonts w:ascii="Arial Black" w:hAnsi="Arial Black"/>
                <w:sz w:val="28"/>
                <w:szCs w:val="20"/>
              </w:rPr>
              <w:t>FOR SUPPLIES</w:t>
            </w:r>
          </w:p>
        </w:tc>
      </w:tr>
      <w:tr w:rsidR="00183E8C" w:rsidRPr="00B23E1E" w:rsidTr="00116D98">
        <w:trPr>
          <w:trHeight w:val="1289"/>
          <w:jc w:val="center"/>
        </w:trPr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8C4" w:rsidRDefault="00396686" w:rsidP="00185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Tender Ref. # icddr,b/SCM</w:t>
            </w:r>
            <w:r w:rsidR="00183E8C"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/OTM/201</w:t>
            </w:r>
            <w:r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183E8C"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35-37</w:t>
            </w:r>
            <w:r w:rsidR="00183E8C"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  </w:t>
            </w:r>
            <w:r w:rsidR="00183E8C" w:rsidRPr="00B23E1E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  </w:t>
            </w:r>
            <w:r w:rsidR="00183E8C" w:rsidRPr="00B23E1E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ab/>
              <w:t xml:space="preserve">        </w:t>
            </w:r>
            <w:r w:rsidR="00FE0391" w:rsidRPr="00B23E1E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</w:t>
            </w:r>
            <w:r w:rsidR="009D67D7" w:rsidRPr="00B23E1E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    </w:t>
            </w:r>
            <w:r w:rsidR="001858C4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</w:t>
            </w:r>
            <w:r w:rsidR="009D67D7" w:rsidRPr="00B23E1E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</w:t>
            </w:r>
            <w:r w:rsidR="00183E8C" w:rsidRPr="00B23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: </w:t>
            </w:r>
            <w:r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183E8C" w:rsidRPr="00B23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183E8C"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, 201</w:t>
            </w:r>
            <w:r w:rsidRPr="00B23E1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183E8C" w:rsidRPr="00B23E1E" w:rsidRDefault="00183E8C" w:rsidP="001858C4">
            <w:pPr>
              <w:rPr>
                <w:rFonts w:ascii="Calibri" w:hAnsi="Calibri" w:cs="Calibri"/>
                <w:sz w:val="20"/>
                <w:szCs w:val="18"/>
              </w:rPr>
            </w:pPr>
            <w:r w:rsidRPr="00B23E1E">
              <w:rPr>
                <w:rFonts w:ascii="Calibri" w:hAnsi="Calibri" w:cs="Calibri"/>
                <w:sz w:val="20"/>
                <w:szCs w:val="18"/>
              </w:rPr>
              <w:t xml:space="preserve">Sealed Tenders are invited by the icddr,b  from reputed firms having at least 3 years work experience in the relevant field with large organizations </w:t>
            </w:r>
            <w:r w:rsidR="00915EE6" w:rsidRPr="00B23E1E">
              <w:rPr>
                <w:rFonts w:ascii="Calibri" w:hAnsi="Calibri" w:cs="Calibri"/>
                <w:sz w:val="20"/>
                <w:szCs w:val="18"/>
              </w:rPr>
              <w:t>like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 UN agencies, diplomatic missions, international organizations</w:t>
            </w:r>
            <w:r w:rsidR="00915EE6" w:rsidRPr="00B23E1E">
              <w:rPr>
                <w:rFonts w:ascii="Calibri" w:hAnsi="Calibri" w:cs="Calibri"/>
                <w:sz w:val="20"/>
                <w:szCs w:val="18"/>
              </w:rPr>
              <w:t>, Large Corporate Office, Hospitals etc.</w:t>
            </w:r>
            <w:r w:rsidRPr="00B23E1E">
              <w:rPr>
                <w:rFonts w:ascii="Calibri" w:hAnsi="Calibri" w:cs="Calibri"/>
                <w:sz w:val="20"/>
                <w:szCs w:val="18"/>
              </w:rPr>
              <w:t>:</w:t>
            </w:r>
          </w:p>
          <w:tbl>
            <w:tblPr>
              <w:tblW w:w="9112" w:type="dxa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7"/>
              <w:gridCol w:w="2799"/>
              <w:gridCol w:w="1596"/>
              <w:gridCol w:w="2070"/>
              <w:gridCol w:w="2140"/>
            </w:tblGrid>
            <w:tr w:rsidR="00915EE6" w:rsidRPr="00B23E1E" w:rsidTr="00B23E1E">
              <w:trPr>
                <w:trHeight w:val="520"/>
              </w:trPr>
              <w:tc>
                <w:tcPr>
                  <w:tcW w:w="507" w:type="dxa"/>
                  <w:vAlign w:val="center"/>
                </w:tcPr>
                <w:p w:rsidR="00915EE6" w:rsidRPr="00B23E1E" w:rsidRDefault="00915EE6" w:rsidP="00004C45">
                  <w:pPr>
                    <w:pStyle w:val="BodyText"/>
                    <w:tabs>
                      <w:tab w:val="left" w:pos="199"/>
                    </w:tabs>
                    <w:jc w:val="center"/>
                    <w:rPr>
                      <w:rFonts w:ascii="Calibri" w:hAnsi="Calibri" w:cs="Calibri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szCs w:val="18"/>
                    </w:rPr>
                    <w:t>Sl.#</w:t>
                  </w:r>
                </w:p>
              </w:tc>
              <w:tc>
                <w:tcPr>
                  <w:tcW w:w="2799" w:type="dxa"/>
                  <w:vAlign w:val="center"/>
                </w:tcPr>
                <w:p w:rsidR="00915EE6" w:rsidRPr="00B23E1E" w:rsidRDefault="00915EE6" w:rsidP="002C6A48">
                  <w:pPr>
                    <w:pStyle w:val="BodyText"/>
                    <w:jc w:val="center"/>
                    <w:rPr>
                      <w:rFonts w:ascii="Calibri" w:hAnsi="Calibri" w:cs="Calibri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szCs w:val="18"/>
                    </w:rPr>
                    <w:t xml:space="preserve">Name of </w:t>
                  </w:r>
                  <w:r w:rsidR="002C6A48" w:rsidRPr="00B23E1E">
                    <w:rPr>
                      <w:rFonts w:ascii="Calibri" w:hAnsi="Calibri" w:cs="Calibri"/>
                      <w:szCs w:val="18"/>
                    </w:rPr>
                    <w:t>Tender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vAlign w:val="center"/>
                </w:tcPr>
                <w:p w:rsidR="00915EE6" w:rsidRPr="00B23E1E" w:rsidRDefault="00915EE6" w:rsidP="00004C45">
                  <w:pPr>
                    <w:pStyle w:val="BodyText"/>
                    <w:jc w:val="center"/>
                    <w:rPr>
                      <w:rFonts w:ascii="Calibri" w:hAnsi="Calibri" w:cs="Calibri"/>
                      <w:b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b/>
                      <w:szCs w:val="18"/>
                    </w:rPr>
                    <w:t xml:space="preserve">Schedule of </w:t>
                  </w:r>
                </w:p>
                <w:p w:rsidR="00915EE6" w:rsidRPr="00B23E1E" w:rsidRDefault="00915EE6" w:rsidP="00004C45">
                  <w:pPr>
                    <w:pStyle w:val="BodyText"/>
                    <w:jc w:val="center"/>
                    <w:rPr>
                      <w:rFonts w:ascii="Calibri" w:hAnsi="Calibri" w:cs="Calibri"/>
                      <w:b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b/>
                      <w:szCs w:val="18"/>
                    </w:rPr>
                    <w:t>Pre-bid meeting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EE6" w:rsidRPr="00B23E1E" w:rsidRDefault="00915EE6" w:rsidP="006B26DA">
                  <w:pPr>
                    <w:pStyle w:val="BodyText"/>
                    <w:jc w:val="center"/>
                    <w:rPr>
                      <w:rFonts w:ascii="Calibri" w:hAnsi="Calibri" w:cs="Calibri"/>
                      <w:b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b/>
                      <w:szCs w:val="18"/>
                    </w:rPr>
                    <w:t xml:space="preserve">Tender </w:t>
                  </w:r>
                  <w:r w:rsidR="006B26DA" w:rsidRPr="00B23E1E">
                    <w:rPr>
                      <w:rFonts w:ascii="Calibri" w:hAnsi="Calibri" w:cs="Calibri"/>
                      <w:b/>
                      <w:szCs w:val="18"/>
                    </w:rPr>
                    <w:t>Doc Collection Time</w:t>
                  </w:r>
                  <w:r w:rsidR="00DD582C" w:rsidRPr="00B23E1E">
                    <w:rPr>
                      <w:rFonts w:ascii="Calibri" w:hAnsi="Calibri" w:cs="Calibri"/>
                      <w:b/>
                      <w:szCs w:val="18"/>
                    </w:rPr>
                    <w:t xml:space="preserve"> &amp; Selling Price</w:t>
                  </w:r>
                </w:p>
              </w:tc>
              <w:tc>
                <w:tcPr>
                  <w:tcW w:w="21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5EE6" w:rsidRPr="00B23E1E" w:rsidRDefault="00915EE6" w:rsidP="00444566">
                  <w:pPr>
                    <w:pStyle w:val="BodyText"/>
                    <w:jc w:val="center"/>
                    <w:rPr>
                      <w:rFonts w:ascii="Calibri" w:hAnsi="Calibri" w:cs="Calibri"/>
                      <w:b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b/>
                      <w:szCs w:val="18"/>
                    </w:rPr>
                    <w:t>Tender Closing and Opening</w:t>
                  </w:r>
                  <w:r w:rsidR="00444566" w:rsidRPr="00B23E1E">
                    <w:rPr>
                      <w:rFonts w:ascii="Calibri" w:hAnsi="Calibri" w:cs="Calibri"/>
                      <w:b/>
                      <w:szCs w:val="18"/>
                    </w:rPr>
                    <w:t xml:space="preserve"> Time</w:t>
                  </w:r>
                </w:p>
              </w:tc>
            </w:tr>
            <w:tr w:rsidR="00396686" w:rsidRPr="00B23E1E" w:rsidTr="00B23E1E">
              <w:trPr>
                <w:trHeight w:val="289"/>
              </w:trPr>
              <w:tc>
                <w:tcPr>
                  <w:tcW w:w="507" w:type="dxa"/>
                  <w:vAlign w:val="center"/>
                </w:tcPr>
                <w:p w:rsidR="00396686" w:rsidRPr="00B23E1E" w:rsidRDefault="00396686" w:rsidP="00004C45">
                  <w:pPr>
                    <w:pStyle w:val="BodyText"/>
                    <w:jc w:val="center"/>
                    <w:rPr>
                      <w:rFonts w:ascii="Calibri" w:hAnsi="Calibri" w:cs="Calibri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szCs w:val="18"/>
                    </w:rPr>
                    <w:t>1</w:t>
                  </w:r>
                </w:p>
              </w:tc>
              <w:tc>
                <w:tcPr>
                  <w:tcW w:w="2799" w:type="dxa"/>
                  <w:vAlign w:val="center"/>
                </w:tcPr>
                <w:p w:rsidR="00396686" w:rsidRPr="00B23E1E" w:rsidRDefault="00396686" w:rsidP="00396686">
                  <w:pPr>
                    <w:pStyle w:val="BodyText"/>
                    <w:jc w:val="left"/>
                    <w:rPr>
                      <w:rFonts w:ascii="Calibri" w:hAnsi="Calibri" w:cs="Calibri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szCs w:val="18"/>
                    </w:rPr>
                    <w:t>Yearly Contract for Supply of Office Stationary and Hospital Materials</w:t>
                  </w:r>
                </w:p>
              </w:tc>
              <w:tc>
                <w:tcPr>
                  <w:tcW w:w="1596" w:type="dxa"/>
                  <w:vMerge w:val="restart"/>
                  <w:vAlign w:val="center"/>
                </w:tcPr>
                <w:p w:rsidR="00396686" w:rsidRPr="00B23E1E" w:rsidRDefault="00396686" w:rsidP="0039668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September 24, 2019 at 10:30</w:t>
                  </w:r>
                  <w:r w:rsidR="00A60A3E"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am</w:t>
                  </w:r>
                  <w:r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-12:00 pm</w:t>
                  </w:r>
                </w:p>
              </w:tc>
              <w:tc>
                <w:tcPr>
                  <w:tcW w:w="207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86" w:rsidRPr="00B23E1E" w:rsidRDefault="00396686" w:rsidP="0039668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September 12-October 02, 2019 between 10:00 am to 03:00pm</w:t>
                  </w:r>
                  <w:r w:rsidR="00DD582C"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 xml:space="preserve"> @BDT2,000/Per Document</w:t>
                  </w:r>
                </w:p>
              </w:tc>
              <w:tc>
                <w:tcPr>
                  <w:tcW w:w="214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96686" w:rsidRPr="00B23E1E" w:rsidRDefault="00396686" w:rsidP="00915EE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Closing: October 03, 2019 at 2</w:t>
                  </w:r>
                  <w:r w:rsidR="00A60A3E"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:</w:t>
                  </w:r>
                  <w:r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45pm</w:t>
                  </w:r>
                </w:p>
                <w:p w:rsidR="00396686" w:rsidRPr="00B23E1E" w:rsidRDefault="00396686" w:rsidP="00915EE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  <w:p w:rsidR="00396686" w:rsidRPr="00B23E1E" w:rsidRDefault="00396686" w:rsidP="0039668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Opening: October 03, 2019 at 3:00pm</w:t>
                  </w:r>
                </w:p>
              </w:tc>
            </w:tr>
            <w:tr w:rsidR="00396686" w:rsidRPr="00B23E1E" w:rsidTr="00B23E1E">
              <w:trPr>
                <w:trHeight w:val="278"/>
              </w:trPr>
              <w:tc>
                <w:tcPr>
                  <w:tcW w:w="507" w:type="dxa"/>
                  <w:vAlign w:val="center"/>
                </w:tcPr>
                <w:p w:rsidR="00396686" w:rsidRPr="00B23E1E" w:rsidRDefault="00396686" w:rsidP="00004C45">
                  <w:pPr>
                    <w:pStyle w:val="BodyText"/>
                    <w:jc w:val="center"/>
                    <w:rPr>
                      <w:rFonts w:ascii="Calibri" w:hAnsi="Calibri" w:cs="Calibri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szCs w:val="18"/>
                    </w:rPr>
                    <w:t>2</w:t>
                  </w:r>
                </w:p>
              </w:tc>
              <w:tc>
                <w:tcPr>
                  <w:tcW w:w="2799" w:type="dxa"/>
                  <w:vAlign w:val="center"/>
                </w:tcPr>
                <w:p w:rsidR="00396686" w:rsidRPr="00B23E1E" w:rsidRDefault="00396686" w:rsidP="00004C45">
                  <w:pPr>
                    <w:pStyle w:val="BodyText"/>
                    <w:jc w:val="left"/>
                    <w:rPr>
                      <w:rFonts w:ascii="Calibri" w:hAnsi="Calibri" w:cs="Calibri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szCs w:val="18"/>
                    </w:rPr>
                    <w:t>Yearly Contract for Supply of Building Materials</w:t>
                  </w:r>
                </w:p>
              </w:tc>
              <w:tc>
                <w:tcPr>
                  <w:tcW w:w="1596" w:type="dxa"/>
                  <w:vMerge/>
                  <w:vAlign w:val="center"/>
                </w:tcPr>
                <w:p w:rsidR="00396686" w:rsidRPr="00B23E1E" w:rsidRDefault="00396686" w:rsidP="00B279E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86" w:rsidRPr="00B23E1E" w:rsidRDefault="00396686" w:rsidP="00004C45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96686" w:rsidRPr="00B23E1E" w:rsidRDefault="00396686" w:rsidP="00004C45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</w:tc>
            </w:tr>
            <w:tr w:rsidR="00396686" w:rsidRPr="00B23E1E" w:rsidTr="00B23E1E">
              <w:trPr>
                <w:trHeight w:val="296"/>
              </w:trPr>
              <w:tc>
                <w:tcPr>
                  <w:tcW w:w="507" w:type="dxa"/>
                  <w:vAlign w:val="center"/>
                </w:tcPr>
                <w:p w:rsidR="00396686" w:rsidRPr="00B23E1E" w:rsidRDefault="00396686" w:rsidP="00004C45">
                  <w:pPr>
                    <w:pStyle w:val="BodyText"/>
                    <w:jc w:val="center"/>
                    <w:rPr>
                      <w:rFonts w:ascii="Calibri" w:hAnsi="Calibri" w:cs="Calibri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szCs w:val="18"/>
                    </w:rPr>
                    <w:t>3</w:t>
                  </w:r>
                </w:p>
              </w:tc>
              <w:tc>
                <w:tcPr>
                  <w:tcW w:w="2799" w:type="dxa"/>
                  <w:vAlign w:val="center"/>
                </w:tcPr>
                <w:p w:rsidR="00396686" w:rsidRPr="00B23E1E" w:rsidRDefault="00396686" w:rsidP="00004C45">
                  <w:pPr>
                    <w:pStyle w:val="BodyText"/>
                    <w:jc w:val="left"/>
                    <w:rPr>
                      <w:rFonts w:ascii="Calibri" w:hAnsi="Calibri" w:cs="Calibri"/>
                      <w:szCs w:val="18"/>
                    </w:rPr>
                  </w:pPr>
                  <w:r w:rsidRPr="00B23E1E">
                    <w:rPr>
                      <w:rFonts w:ascii="Calibri" w:hAnsi="Calibri" w:cs="Calibri"/>
                      <w:szCs w:val="18"/>
                    </w:rPr>
                    <w:t>Yearly Contract for Supply of Electrical Materials</w:t>
                  </w:r>
                </w:p>
              </w:tc>
              <w:tc>
                <w:tcPr>
                  <w:tcW w:w="1596" w:type="dxa"/>
                  <w:vMerge/>
                  <w:vAlign w:val="center"/>
                </w:tcPr>
                <w:p w:rsidR="00396686" w:rsidRPr="00B23E1E" w:rsidRDefault="00396686" w:rsidP="00B279E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86" w:rsidRPr="00B23E1E" w:rsidRDefault="00396686" w:rsidP="00004C45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96686" w:rsidRPr="00B23E1E" w:rsidRDefault="00396686" w:rsidP="00004C45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004C45" w:rsidRPr="00B23E1E" w:rsidRDefault="00004C45" w:rsidP="00004C45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B23E1E">
              <w:rPr>
                <w:rFonts w:ascii="Calibri" w:hAnsi="Calibri" w:cs="Calibri"/>
                <w:sz w:val="20"/>
                <w:szCs w:val="18"/>
              </w:rPr>
              <w:t xml:space="preserve">Tender 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doc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>um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e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>n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ts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 will be available at Cash Counter, Finance Office, Level-4 of Main Building, icddr,b, </w:t>
            </w:r>
            <w:proofErr w:type="spellStart"/>
            <w:r w:rsidRPr="00B23E1E">
              <w:rPr>
                <w:rFonts w:ascii="Calibri" w:hAnsi="Calibri" w:cs="Calibri"/>
                <w:sz w:val="20"/>
                <w:szCs w:val="18"/>
              </w:rPr>
              <w:t>Mohakhali</w:t>
            </w:r>
            <w:proofErr w:type="spellEnd"/>
            <w:r w:rsidRPr="00B23E1E">
              <w:rPr>
                <w:rFonts w:ascii="Calibri" w:hAnsi="Calibri" w:cs="Calibri"/>
                <w:sz w:val="20"/>
                <w:szCs w:val="18"/>
              </w:rPr>
              <w:t xml:space="preserve">, Dhaka </w:t>
            </w:r>
            <w:r w:rsidR="00915EE6" w:rsidRPr="00B23E1E">
              <w:rPr>
                <w:rFonts w:ascii="Calibri" w:hAnsi="Calibri" w:cs="Calibri"/>
                <w:sz w:val="20"/>
                <w:szCs w:val="18"/>
              </w:rPr>
              <w:t>as per above schedule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 on all working days @</w:t>
            </w:r>
            <w:r w:rsidR="00E77369" w:rsidRPr="00B23E1E">
              <w:rPr>
                <w:rFonts w:ascii="Calibri" w:hAnsi="Calibri" w:cs="Calibri"/>
                <w:sz w:val="20"/>
                <w:szCs w:val="18"/>
              </w:rPr>
              <w:t>BDT</w:t>
            </w:r>
            <w:r w:rsidR="00396686" w:rsidRPr="00B23E1E">
              <w:rPr>
                <w:rFonts w:ascii="Calibri" w:hAnsi="Calibri" w:cs="Calibri"/>
                <w:sz w:val="20"/>
                <w:szCs w:val="18"/>
              </w:rPr>
              <w:t>2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000/= (non-refundable) per 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doc</w:t>
            </w:r>
            <w:r w:rsidR="00892F49" w:rsidRPr="00B23E1E">
              <w:rPr>
                <w:rFonts w:ascii="Calibri" w:hAnsi="Calibri" w:cs="Calibri"/>
                <w:sz w:val="20"/>
                <w:szCs w:val="18"/>
              </w:rPr>
              <w:t>um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e</w:t>
            </w:r>
            <w:r w:rsidR="00892F49" w:rsidRPr="00B23E1E">
              <w:rPr>
                <w:rFonts w:ascii="Calibri" w:hAnsi="Calibri" w:cs="Calibri"/>
                <w:sz w:val="20"/>
                <w:szCs w:val="18"/>
              </w:rPr>
              <w:t>n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ts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. </w:t>
            </w:r>
            <w:r w:rsidR="00756CEA" w:rsidRPr="00B23E1E">
              <w:rPr>
                <w:rFonts w:ascii="Calibri" w:hAnsi="Calibri" w:cs="Calibri"/>
                <w:sz w:val="20"/>
                <w:szCs w:val="18"/>
              </w:rPr>
              <w:t>Pre-bid meeting will be held in</w:t>
            </w:r>
            <w:r w:rsidR="00B53750" w:rsidRPr="00B23E1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S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>u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ppl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>y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 xml:space="preserve"> C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>ha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>i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 xml:space="preserve">n </w:t>
            </w:r>
            <w:r w:rsidR="00B53750" w:rsidRPr="00B23E1E">
              <w:rPr>
                <w:rFonts w:ascii="Calibri" w:hAnsi="Calibri" w:cs="Calibri"/>
                <w:sz w:val="20"/>
                <w:szCs w:val="18"/>
              </w:rPr>
              <w:t xml:space="preserve">Conference </w:t>
            </w:r>
            <w:r w:rsidR="00756CEA" w:rsidRPr="00B23E1E">
              <w:rPr>
                <w:rFonts w:ascii="Calibri" w:hAnsi="Calibri" w:cs="Calibri"/>
                <w:sz w:val="20"/>
                <w:szCs w:val="18"/>
              </w:rPr>
              <w:t>Room,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 xml:space="preserve"> IPH Building Ground </w:t>
            </w:r>
            <w:r w:rsidR="004875D6" w:rsidRPr="00B23E1E">
              <w:rPr>
                <w:rFonts w:ascii="Calibri" w:hAnsi="Calibri" w:cs="Calibri"/>
                <w:sz w:val="20"/>
                <w:szCs w:val="18"/>
              </w:rPr>
              <w:t>F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 xml:space="preserve">loor, </w:t>
            </w:r>
            <w:r w:rsidR="00756CEA" w:rsidRPr="00B23E1E">
              <w:rPr>
                <w:rFonts w:ascii="Calibri" w:hAnsi="Calibri" w:cs="Calibri"/>
                <w:sz w:val="20"/>
                <w:szCs w:val="18"/>
              </w:rPr>
              <w:t>icddr</w:t>
            </w:r>
            <w:proofErr w:type="gramStart"/>
            <w:r w:rsidR="00756CEA" w:rsidRPr="00B23E1E">
              <w:rPr>
                <w:rFonts w:ascii="Calibri" w:hAnsi="Calibri" w:cs="Calibri"/>
                <w:sz w:val="20"/>
                <w:szCs w:val="18"/>
              </w:rPr>
              <w:t>,b</w:t>
            </w:r>
            <w:proofErr w:type="gramEnd"/>
            <w:r w:rsidR="00756CEA" w:rsidRPr="00B23E1E">
              <w:rPr>
                <w:rFonts w:ascii="Calibri" w:hAnsi="Calibri" w:cs="Calibri"/>
                <w:sz w:val="20"/>
                <w:szCs w:val="18"/>
              </w:rPr>
              <w:t>, Mohakhali, Dhaka as scheduled</w:t>
            </w:r>
            <w:r w:rsidR="00642303" w:rsidRPr="00B23E1E">
              <w:rPr>
                <w:rFonts w:ascii="Calibri" w:hAnsi="Calibri" w:cs="Calibri"/>
                <w:sz w:val="20"/>
                <w:szCs w:val="18"/>
              </w:rPr>
              <w:t xml:space="preserve"> above</w:t>
            </w:r>
            <w:r w:rsidR="00B53750" w:rsidRPr="00B23E1E">
              <w:rPr>
                <w:rFonts w:ascii="Calibri" w:hAnsi="Calibri" w:cs="Calibri"/>
                <w:sz w:val="20"/>
                <w:szCs w:val="18"/>
              </w:rPr>
              <w:t xml:space="preserve">. 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 xml:space="preserve">The tenderer must bring </w:t>
            </w:r>
            <w:r w:rsidR="004875D6" w:rsidRPr="00B23E1E">
              <w:rPr>
                <w:rFonts w:ascii="Calibri" w:hAnsi="Calibri" w:cs="Calibri"/>
                <w:b/>
                <w:sz w:val="20"/>
                <w:szCs w:val="18"/>
              </w:rPr>
              <w:t>NID card/</w:t>
            </w:r>
            <w:r w:rsidR="0054625F" w:rsidRPr="00B23E1E">
              <w:rPr>
                <w:rFonts w:ascii="Calibri" w:hAnsi="Calibri" w:cs="Calibri"/>
                <w:b/>
                <w:sz w:val="20"/>
                <w:szCs w:val="18"/>
              </w:rPr>
              <w:t>Company Photo ID card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 xml:space="preserve"> with him/her </w:t>
            </w:r>
            <w:r w:rsidR="004875D6" w:rsidRPr="00B23E1E">
              <w:rPr>
                <w:rFonts w:ascii="Calibri" w:hAnsi="Calibri" w:cs="Calibri"/>
                <w:sz w:val="20"/>
                <w:szCs w:val="18"/>
              </w:rPr>
              <w:t>to a</w:t>
            </w:r>
            <w:r w:rsidR="00541356" w:rsidRPr="00B23E1E">
              <w:rPr>
                <w:rFonts w:ascii="Calibri" w:hAnsi="Calibri" w:cs="Calibri"/>
                <w:sz w:val="20"/>
                <w:szCs w:val="18"/>
              </w:rPr>
              <w:t>tt</w:t>
            </w:r>
            <w:r w:rsidR="004875D6" w:rsidRPr="00B23E1E">
              <w:rPr>
                <w:rFonts w:ascii="Calibri" w:hAnsi="Calibri" w:cs="Calibri"/>
                <w:sz w:val="20"/>
                <w:szCs w:val="18"/>
              </w:rPr>
              <w:t xml:space="preserve">end 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>Pre</w:t>
            </w:r>
            <w:r w:rsidR="001B4267" w:rsidRPr="00B23E1E">
              <w:rPr>
                <w:rFonts w:ascii="Calibri" w:hAnsi="Calibri" w:cs="Calibri"/>
                <w:sz w:val="20"/>
                <w:szCs w:val="18"/>
              </w:rPr>
              <w:t>-</w:t>
            </w:r>
            <w:r w:rsidR="004875D6" w:rsidRPr="00B23E1E">
              <w:rPr>
                <w:rFonts w:ascii="Calibri" w:hAnsi="Calibri" w:cs="Calibri"/>
                <w:sz w:val="20"/>
                <w:szCs w:val="18"/>
              </w:rPr>
              <w:t>bid Meeting and for Tender Document collection</w:t>
            </w:r>
            <w:r w:rsidR="0054625F" w:rsidRPr="00B23E1E">
              <w:rPr>
                <w:rFonts w:ascii="Calibri" w:hAnsi="Calibri" w:cs="Calibri"/>
                <w:sz w:val="20"/>
                <w:szCs w:val="18"/>
              </w:rPr>
              <w:t xml:space="preserve">. 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In case, tender cannot </w:t>
            </w:r>
            <w:r w:rsidR="004875D6" w:rsidRPr="00B23E1E">
              <w:rPr>
                <w:rFonts w:ascii="Calibri" w:hAnsi="Calibri" w:cs="Calibri"/>
                <w:sz w:val="20"/>
                <w:szCs w:val="18"/>
              </w:rPr>
              <w:t xml:space="preserve">be </w:t>
            </w:r>
            <w:r w:rsidRPr="00B23E1E">
              <w:rPr>
                <w:rFonts w:ascii="Calibri" w:hAnsi="Calibri" w:cs="Calibri"/>
                <w:sz w:val="20"/>
                <w:szCs w:val="18"/>
              </w:rPr>
              <w:t>receive</w:t>
            </w:r>
            <w:r w:rsidR="004875D6" w:rsidRPr="00B23E1E">
              <w:rPr>
                <w:rFonts w:ascii="Calibri" w:hAnsi="Calibri" w:cs="Calibri"/>
                <w:sz w:val="20"/>
                <w:szCs w:val="18"/>
              </w:rPr>
              <w:t>d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 and open</w:t>
            </w:r>
            <w:r w:rsidR="004875D6" w:rsidRPr="00B23E1E">
              <w:rPr>
                <w:rFonts w:ascii="Calibri" w:hAnsi="Calibri" w:cs="Calibri"/>
                <w:sz w:val="20"/>
                <w:szCs w:val="18"/>
              </w:rPr>
              <w:t>ed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 on the scheduled date for any unavoidable circumstances, the same will be received and opened on the following working da</w:t>
            </w:r>
            <w:r w:rsidR="004875D6" w:rsidRPr="00B23E1E">
              <w:rPr>
                <w:rFonts w:ascii="Calibri" w:hAnsi="Calibri" w:cs="Calibri"/>
                <w:sz w:val="20"/>
                <w:szCs w:val="18"/>
              </w:rPr>
              <w:t>y</w:t>
            </w:r>
            <w:r w:rsidRPr="00B23E1E">
              <w:rPr>
                <w:rFonts w:ascii="Calibri" w:hAnsi="Calibri" w:cs="Calibri"/>
                <w:sz w:val="20"/>
                <w:szCs w:val="18"/>
              </w:rPr>
              <w:t xml:space="preserve"> at same time and place.</w:t>
            </w:r>
          </w:p>
          <w:p w:rsidR="00183E8C" w:rsidRPr="00B23E1E" w:rsidRDefault="00004C45" w:rsidP="00D04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3E1E">
              <w:rPr>
                <w:rFonts w:ascii="Calibri" w:hAnsi="Calibri" w:cs="Calibri"/>
                <w:sz w:val="20"/>
                <w:szCs w:val="18"/>
              </w:rPr>
              <w:t>icddr,</w:t>
            </w:r>
            <w:proofErr w:type="gramEnd"/>
            <w:r w:rsidRPr="00B23E1E">
              <w:rPr>
                <w:rFonts w:ascii="Calibri" w:hAnsi="Calibri" w:cs="Calibri"/>
                <w:sz w:val="20"/>
                <w:szCs w:val="18"/>
              </w:rPr>
              <w:t>b reserves the right to accept or reject all/part tenders without assigning any reason whatsoever. This tender notice will also form a part of the contract and will be binding upon the tenderer.</w:t>
            </w:r>
          </w:p>
        </w:tc>
      </w:tr>
      <w:tr w:rsidR="00183E8C" w:rsidRPr="00B23E1E" w:rsidTr="00116D98">
        <w:trPr>
          <w:trHeight w:val="672"/>
          <w:jc w:val="center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8C" w:rsidRPr="00B23E1E" w:rsidRDefault="0094169D" w:rsidP="00D04F78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23E1E">
              <w:rPr>
                <w:noProof/>
                <w:sz w:val="20"/>
              </w:rPr>
              <w:drawing>
                <wp:inline distT="0" distB="0" distL="0" distR="0">
                  <wp:extent cx="1385570" cy="325755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5" w:rsidRPr="00B23E1E" w:rsidRDefault="00642303" w:rsidP="00004C45">
            <w:pPr>
              <w:pStyle w:val="BodyText"/>
              <w:spacing w:line="216" w:lineRule="auto"/>
              <w:ind w:right="120"/>
              <w:jc w:val="right"/>
              <w:rPr>
                <w:rFonts w:ascii="Calibri" w:hAnsi="Calibri" w:cs="Calibri"/>
                <w:b/>
                <w:szCs w:val="16"/>
              </w:rPr>
            </w:pPr>
            <w:r w:rsidRPr="00B23E1E">
              <w:rPr>
                <w:rFonts w:ascii="Calibri" w:hAnsi="Calibri" w:cs="Calibri"/>
                <w:b/>
                <w:szCs w:val="16"/>
              </w:rPr>
              <w:t>Senior</w:t>
            </w:r>
            <w:r w:rsidR="00004C45" w:rsidRPr="00B23E1E">
              <w:rPr>
                <w:rFonts w:ascii="Calibri" w:hAnsi="Calibri" w:cs="Calibri"/>
                <w:b/>
                <w:szCs w:val="16"/>
              </w:rPr>
              <w:t xml:space="preserve"> Manager, Procurement </w:t>
            </w:r>
          </w:p>
          <w:p w:rsidR="00183E8C" w:rsidRPr="00B23E1E" w:rsidRDefault="00B279E2" w:rsidP="004875D6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23E1E">
              <w:rPr>
                <w:rFonts w:cs="Calibri"/>
                <w:b/>
                <w:sz w:val="20"/>
                <w:szCs w:val="16"/>
              </w:rPr>
              <w:t xml:space="preserve">Phone: +880-2-9827001-10 </w:t>
            </w:r>
            <w:r w:rsidR="00004C45" w:rsidRPr="00B23E1E">
              <w:rPr>
                <w:rFonts w:cs="Calibri"/>
                <w:b/>
                <w:sz w:val="20"/>
                <w:szCs w:val="16"/>
              </w:rPr>
              <w:t xml:space="preserve"> Ext. </w:t>
            </w:r>
            <w:r w:rsidR="00DD582C" w:rsidRPr="00B23E1E">
              <w:rPr>
                <w:rFonts w:cs="Calibri"/>
                <w:b/>
                <w:sz w:val="20"/>
                <w:szCs w:val="16"/>
              </w:rPr>
              <w:t>4422</w:t>
            </w:r>
            <w:r w:rsidR="004875D6" w:rsidRPr="00B23E1E">
              <w:rPr>
                <w:rFonts w:cs="Calibri"/>
                <w:b/>
                <w:sz w:val="20"/>
                <w:szCs w:val="16"/>
              </w:rPr>
              <w:t xml:space="preserve">, </w:t>
            </w:r>
            <w:r w:rsidR="00004C45" w:rsidRPr="00B23E1E">
              <w:rPr>
                <w:rFonts w:cs="Calibri"/>
                <w:b/>
                <w:sz w:val="20"/>
                <w:szCs w:val="16"/>
              </w:rPr>
              <w:t>440</w:t>
            </w:r>
            <w:r w:rsidR="00DD582C" w:rsidRPr="00B23E1E">
              <w:rPr>
                <w:rFonts w:cs="Calibri"/>
                <w:b/>
                <w:sz w:val="20"/>
                <w:szCs w:val="16"/>
              </w:rPr>
              <w:t>1</w:t>
            </w:r>
            <w:r w:rsidR="00004C45" w:rsidRPr="00B23E1E">
              <w:rPr>
                <w:rFonts w:cs="Calibri"/>
                <w:b/>
                <w:sz w:val="20"/>
                <w:szCs w:val="16"/>
              </w:rPr>
              <w:t>, 440</w:t>
            </w:r>
            <w:r w:rsidR="004875D6" w:rsidRPr="00B23E1E">
              <w:rPr>
                <w:rFonts w:cs="Calibri"/>
                <w:b/>
                <w:sz w:val="20"/>
                <w:szCs w:val="16"/>
              </w:rPr>
              <w:t xml:space="preserve">0 </w:t>
            </w:r>
          </w:p>
        </w:tc>
      </w:tr>
    </w:tbl>
    <w:p w:rsidR="00183E8C" w:rsidRPr="007E0905" w:rsidRDefault="00183E8C" w:rsidP="00183E8C">
      <w:pPr>
        <w:rPr>
          <w:sz w:val="6"/>
        </w:rPr>
      </w:pPr>
    </w:p>
    <w:p w:rsidR="00183E8C" w:rsidRPr="007E0905" w:rsidRDefault="00183E8C" w:rsidP="00183E8C">
      <w:pPr>
        <w:rPr>
          <w:color w:val="1F497D"/>
          <w:sz w:val="22"/>
        </w:rPr>
      </w:pPr>
    </w:p>
    <w:p w:rsidR="008D46EA" w:rsidRPr="007E0905" w:rsidRDefault="008D46EA" w:rsidP="008D46EA">
      <w:pPr>
        <w:rPr>
          <w:color w:val="1F497D"/>
          <w:sz w:val="22"/>
        </w:rPr>
      </w:pPr>
    </w:p>
    <w:p w:rsidR="008D46EA" w:rsidRPr="00B23E1E" w:rsidRDefault="008D46EA" w:rsidP="008D46EA">
      <w:pPr>
        <w:rPr>
          <w:sz w:val="22"/>
        </w:rPr>
      </w:pPr>
      <w:r w:rsidRPr="00B23E1E">
        <w:rPr>
          <w:sz w:val="22"/>
        </w:rPr>
        <w:t>**Published on 12/09/2019 at Daily “</w:t>
      </w:r>
      <w:proofErr w:type="spellStart"/>
      <w:r w:rsidRPr="00B23E1E">
        <w:rPr>
          <w:sz w:val="22"/>
        </w:rPr>
        <w:t>Prothom-alo</w:t>
      </w:r>
      <w:proofErr w:type="spellEnd"/>
      <w:r w:rsidRPr="00B23E1E">
        <w:rPr>
          <w:sz w:val="22"/>
        </w:rPr>
        <w:t>” “bdtender.com” “icddr</w:t>
      </w:r>
      <w:proofErr w:type="gramStart"/>
      <w:r w:rsidRPr="00B23E1E">
        <w:rPr>
          <w:sz w:val="22"/>
        </w:rPr>
        <w:t>,b</w:t>
      </w:r>
      <w:proofErr w:type="gramEnd"/>
      <w:r w:rsidRPr="00B23E1E">
        <w:rPr>
          <w:sz w:val="22"/>
        </w:rPr>
        <w:t xml:space="preserve"> website”</w:t>
      </w:r>
    </w:p>
    <w:p w:rsidR="00183E8C" w:rsidRPr="007E0905" w:rsidRDefault="00183E8C" w:rsidP="00183E8C">
      <w:pPr>
        <w:rPr>
          <w:color w:val="1F497D"/>
          <w:sz w:val="22"/>
        </w:rPr>
      </w:pPr>
    </w:p>
    <w:p w:rsidR="00BF619E" w:rsidRDefault="00BF619E"/>
    <w:sectPr w:rsidR="00BF619E" w:rsidSect="00BF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E8C"/>
    <w:rsid w:val="00004C45"/>
    <w:rsid w:val="00026178"/>
    <w:rsid w:val="000B6AAC"/>
    <w:rsid w:val="00116D98"/>
    <w:rsid w:val="00121400"/>
    <w:rsid w:val="001708D8"/>
    <w:rsid w:val="00183E8C"/>
    <w:rsid w:val="00184394"/>
    <w:rsid w:val="001858C4"/>
    <w:rsid w:val="001B4267"/>
    <w:rsid w:val="00211E70"/>
    <w:rsid w:val="00267626"/>
    <w:rsid w:val="002C6A48"/>
    <w:rsid w:val="00356B95"/>
    <w:rsid w:val="00396686"/>
    <w:rsid w:val="003E5B16"/>
    <w:rsid w:val="00444566"/>
    <w:rsid w:val="004875D6"/>
    <w:rsid w:val="004B1EAB"/>
    <w:rsid w:val="004D250F"/>
    <w:rsid w:val="004F1FF6"/>
    <w:rsid w:val="00517E39"/>
    <w:rsid w:val="00541356"/>
    <w:rsid w:val="0054625F"/>
    <w:rsid w:val="00642303"/>
    <w:rsid w:val="006973FB"/>
    <w:rsid w:val="006B26DA"/>
    <w:rsid w:val="006D4AE7"/>
    <w:rsid w:val="006E107E"/>
    <w:rsid w:val="006F4114"/>
    <w:rsid w:val="00702516"/>
    <w:rsid w:val="00756CEA"/>
    <w:rsid w:val="00777474"/>
    <w:rsid w:val="007A2629"/>
    <w:rsid w:val="007B1880"/>
    <w:rsid w:val="007D538F"/>
    <w:rsid w:val="007F72C7"/>
    <w:rsid w:val="00806295"/>
    <w:rsid w:val="008311DC"/>
    <w:rsid w:val="00872317"/>
    <w:rsid w:val="00892F49"/>
    <w:rsid w:val="008B284A"/>
    <w:rsid w:val="008D46EA"/>
    <w:rsid w:val="00911423"/>
    <w:rsid w:val="00914185"/>
    <w:rsid w:val="00915EE6"/>
    <w:rsid w:val="0094169D"/>
    <w:rsid w:val="0097502A"/>
    <w:rsid w:val="009D67D7"/>
    <w:rsid w:val="00A60313"/>
    <w:rsid w:val="00A60A3E"/>
    <w:rsid w:val="00A70B12"/>
    <w:rsid w:val="00AA2D09"/>
    <w:rsid w:val="00AF7768"/>
    <w:rsid w:val="00B23E1E"/>
    <w:rsid w:val="00B279E2"/>
    <w:rsid w:val="00B53750"/>
    <w:rsid w:val="00B70505"/>
    <w:rsid w:val="00BF619E"/>
    <w:rsid w:val="00C632EA"/>
    <w:rsid w:val="00C8029D"/>
    <w:rsid w:val="00CA3D2C"/>
    <w:rsid w:val="00D04F78"/>
    <w:rsid w:val="00DD582C"/>
    <w:rsid w:val="00E77369"/>
    <w:rsid w:val="00F75439"/>
    <w:rsid w:val="00FE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F72C7"/>
    <w:rPr>
      <w:b/>
      <w:bCs/>
    </w:rPr>
  </w:style>
  <w:style w:type="character" w:styleId="Emphasis">
    <w:name w:val="Emphasis"/>
    <w:uiPriority w:val="20"/>
    <w:qFormat/>
    <w:rsid w:val="007F72C7"/>
    <w:rPr>
      <w:i/>
      <w:iCs/>
    </w:rPr>
  </w:style>
  <w:style w:type="paragraph" w:styleId="BodyText">
    <w:name w:val="Body Text"/>
    <w:basedOn w:val="Normal"/>
    <w:link w:val="BodyTextChar"/>
    <w:semiHidden/>
    <w:rsid w:val="00183E8C"/>
    <w:pPr>
      <w:jc w:val="both"/>
    </w:pPr>
    <w:rPr>
      <w:sz w:val="20"/>
    </w:rPr>
  </w:style>
  <w:style w:type="character" w:customStyle="1" w:styleId="BodyTextChar">
    <w:name w:val="Body Text Char"/>
    <w:link w:val="BodyText"/>
    <w:semiHidden/>
    <w:rsid w:val="00183E8C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1656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icddrb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easin.siddik</cp:lastModifiedBy>
  <cp:revision>13</cp:revision>
  <cp:lastPrinted>2019-09-11T03:19:00Z</cp:lastPrinted>
  <dcterms:created xsi:type="dcterms:W3CDTF">2019-09-11T03:07:00Z</dcterms:created>
  <dcterms:modified xsi:type="dcterms:W3CDTF">2019-09-11T04:11:00Z</dcterms:modified>
</cp:coreProperties>
</file>